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A2" w:rsidRPr="00021AB7" w:rsidRDefault="008913A2" w:rsidP="00B6552B">
      <w:pPr>
        <w:pStyle w:val="Heading1"/>
      </w:pPr>
      <w:r w:rsidRPr="00021AB7">
        <w:rPr>
          <w:color w:val="999999"/>
        </w:rPr>
        <w:t xml:space="preserve">Survey: </w:t>
      </w:r>
      <w:r w:rsidRPr="00021AB7">
        <w:t xml:space="preserve">Survey of ELN users in Cambridge Chemistry Department </w:t>
      </w:r>
    </w:p>
    <w:p w:rsidR="008913A2" w:rsidRDefault="008913A2" w:rsidP="008A10F3">
      <w:r>
        <w:rPr>
          <w:color w:val="999999"/>
        </w:rPr>
        <w:t xml:space="preserve">Compiled: </w:t>
      </w:r>
      <w:r>
        <w:t xml:space="preserve">05/19/2010 </w:t>
      </w:r>
    </w:p>
    <w:p w:rsidR="007D71A9" w:rsidRDefault="007D71A9" w:rsidP="007D71A9">
      <w:pPr>
        <w:pStyle w:val="Heading2"/>
      </w:pPr>
      <w:r>
        <w:t>Summary: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>
        <w:t>Survey sent</w:t>
      </w:r>
      <w:r w:rsidR="003A26FE">
        <w:t xml:space="preserve"> 29-Apr-10</w:t>
      </w:r>
      <w:r>
        <w:t xml:space="preserve"> to 4</w:t>
      </w:r>
      <w:r w:rsidR="003A26FE">
        <w:t>1</w:t>
      </w:r>
      <w:r>
        <w:t xml:space="preserve"> scientists, 1</w:t>
      </w:r>
      <w:bookmarkStart w:id="0" w:name="_GoBack"/>
      <w:r>
        <w:t>5</w:t>
      </w:r>
      <w:bookmarkEnd w:id="0"/>
      <w:r>
        <w:t xml:space="preserve"> replies received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>
        <w:t>73% of respond</w:t>
      </w:r>
      <w:r w:rsidR="00CD4A1B">
        <w:t>e</w:t>
      </w:r>
      <w:r>
        <w:t>nts are PhD students, most are in first year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>
        <w:t>Mostly organic chemistry, but good amount of Biological, Inorganic, Physical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>
        <w:t xml:space="preserve">Approx. 50:50 usage of Local client </w:t>
      </w:r>
      <w:proofErr w:type="spellStart"/>
      <w:r>
        <w:t>vs</w:t>
      </w:r>
      <w:proofErr w:type="spellEnd"/>
      <w:r>
        <w:t xml:space="preserve"> via Terminal Server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proofErr w:type="spellStart"/>
      <w:r>
        <w:t>Approx</w:t>
      </w:r>
      <w:proofErr w:type="spellEnd"/>
      <w:r>
        <w:t xml:space="preserve"> equal Laptops </w:t>
      </w:r>
      <w:proofErr w:type="spellStart"/>
      <w:r>
        <w:t>vs</w:t>
      </w:r>
      <w:proofErr w:type="spellEnd"/>
      <w:r>
        <w:t xml:space="preserve"> Desktops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>
        <w:t>33% Win-7, 33% Mac; rest XP, Vista, Unix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>
        <w:t>40% use their own computer; 46% use group-owned computer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>
        <w:t>80% of computers used only by one person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 w:rsidRPr="007D71A9">
        <w:rPr>
          <w:b/>
        </w:rPr>
        <w:t>60% have computer outside lab</w:t>
      </w:r>
      <w:r>
        <w:t>.  Only 7% have computer at the bench (Q9)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 w:rsidRPr="007D71A9">
        <w:rPr>
          <w:b/>
        </w:rPr>
        <w:t>33% rate it as “Okay” to use computer for write-up</w:t>
      </w:r>
      <w:r>
        <w:t>. 67% = Not Easy or Difficult (Q10)</w:t>
      </w:r>
    </w:p>
    <w:p w:rsidR="007D71A9" w:rsidRDefault="007D71A9" w:rsidP="007D71A9">
      <w:pPr>
        <w:pStyle w:val="ListParagraph"/>
        <w:numPr>
          <w:ilvl w:val="0"/>
          <w:numId w:val="1"/>
        </w:numPr>
      </w:pPr>
      <w:r w:rsidRPr="007D71A9">
        <w:rPr>
          <w:b/>
        </w:rPr>
        <w:t>20% have computer nearer than 4 metres from bench</w:t>
      </w:r>
      <w:r>
        <w:t>. 33% are &gt;10 meters (Q11)</w:t>
      </w:r>
    </w:p>
    <w:p w:rsidR="00910EBE" w:rsidRDefault="00910EBE" w:rsidP="007D71A9">
      <w:pPr>
        <w:pStyle w:val="ListParagraph"/>
        <w:numPr>
          <w:ilvl w:val="0"/>
          <w:numId w:val="1"/>
        </w:numPr>
      </w:pPr>
      <w:r w:rsidRPr="00910EBE">
        <w:t>20% don’t back-</w:t>
      </w:r>
      <w:r>
        <w:t>up files; 13% don’t know (Q12)</w:t>
      </w:r>
    </w:p>
    <w:p w:rsidR="00910EBE" w:rsidRDefault="00910EBE" w:rsidP="007D71A9">
      <w:pPr>
        <w:pStyle w:val="ListParagraph"/>
        <w:numPr>
          <w:ilvl w:val="0"/>
          <w:numId w:val="1"/>
        </w:numPr>
      </w:pPr>
      <w:r>
        <w:t>87% use paper lab notebooks to store text write-up.  47% use ELN (Q14)</w:t>
      </w:r>
    </w:p>
    <w:p w:rsidR="00910EBE" w:rsidRDefault="00910EBE" w:rsidP="007D71A9">
      <w:pPr>
        <w:pStyle w:val="ListParagraph"/>
        <w:numPr>
          <w:ilvl w:val="0"/>
          <w:numId w:val="1"/>
        </w:numPr>
      </w:pPr>
    </w:p>
    <w:p w:rsidR="007D71A9" w:rsidRDefault="007D71A9" w:rsidP="008A10F3"/>
    <w:p w:rsidR="008913A2" w:rsidRPr="00021AB7" w:rsidRDefault="008913A2" w:rsidP="00B6552B">
      <w:pPr>
        <w:pStyle w:val="Heading2"/>
      </w:pPr>
      <w:r w:rsidRPr="00021AB7">
        <w:t>1. What is your role in the Chemistry Department?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09460947" wp14:editId="1C857B98">
            <wp:extent cx="2705100" cy="183992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3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24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992"/>
        <w:gridCol w:w="1560"/>
      </w:tblGrid>
      <w:tr w:rsidR="008913A2" w:rsidTr="00021AB7">
        <w:trPr>
          <w:tblHeader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021AB7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021AB7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021AB7">
            <w:pPr>
              <w:spacing w:line="240" w:lineRule="auto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021AB7">
        <w:tc>
          <w:tcPr>
            <w:tcW w:w="1872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021AB7">
            <w:pPr>
              <w:spacing w:after="0" w:line="240" w:lineRule="auto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PhD student</w:t>
            </w:r>
          </w:p>
        </w:tc>
        <w:tc>
          <w:tcPr>
            <w:tcW w:w="992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021AB7">
            <w:pPr>
              <w:spacing w:after="0" w:line="240" w:lineRule="auto"/>
              <w:jc w:val="center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021AB7">
            <w:pPr>
              <w:spacing w:after="0" w:line="240" w:lineRule="auto"/>
              <w:jc w:val="center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73.33%</w:t>
            </w:r>
          </w:p>
        </w:tc>
      </w:tr>
      <w:tr w:rsidR="008913A2" w:rsidTr="00021AB7">
        <w:tc>
          <w:tcPr>
            <w:tcW w:w="1872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021AB7">
            <w:pPr>
              <w:spacing w:after="0" w:line="240" w:lineRule="auto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Post-Doc</w:t>
            </w:r>
          </w:p>
        </w:tc>
        <w:tc>
          <w:tcPr>
            <w:tcW w:w="992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021AB7">
            <w:pPr>
              <w:spacing w:after="0" w:line="240" w:lineRule="auto"/>
              <w:jc w:val="center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021AB7">
            <w:pPr>
              <w:spacing w:after="0" w:line="240" w:lineRule="auto"/>
              <w:jc w:val="center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13.33%</w:t>
            </w:r>
          </w:p>
        </w:tc>
      </w:tr>
      <w:tr w:rsidR="008913A2" w:rsidTr="00021AB7">
        <w:tc>
          <w:tcPr>
            <w:tcW w:w="1872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021AB7">
            <w:pPr>
              <w:spacing w:after="0" w:line="240" w:lineRule="auto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992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021AB7">
            <w:pPr>
              <w:spacing w:after="0" w:line="240" w:lineRule="auto"/>
              <w:jc w:val="center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021AB7">
            <w:pPr>
              <w:spacing w:after="0" w:line="240" w:lineRule="auto"/>
              <w:jc w:val="center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  <w:tr w:rsidR="008913A2" w:rsidTr="00021AB7">
        <w:tc>
          <w:tcPr>
            <w:tcW w:w="1872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021AB7">
            <w:pPr>
              <w:spacing w:after="0" w:line="240" w:lineRule="auto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Principal Investigator</w:t>
            </w:r>
          </w:p>
        </w:tc>
        <w:tc>
          <w:tcPr>
            <w:tcW w:w="992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021AB7">
            <w:pPr>
              <w:spacing w:line="240" w:lineRule="auto"/>
              <w:jc w:val="center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021AB7">
            <w:pPr>
              <w:spacing w:line="240" w:lineRule="auto"/>
              <w:jc w:val="center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</w:tbl>
    <w:p w:rsidR="008913A2" w:rsidRDefault="008913A2" w:rsidP="00B6552B">
      <w:pPr>
        <w:pStyle w:val="Heading2"/>
      </w:pPr>
      <w:r>
        <w:t xml:space="preserve">2. </w:t>
      </w:r>
      <w:r>
        <w:rPr>
          <w:rStyle w:val="Strong"/>
          <w:rFonts w:ascii="Arial" w:hAnsi="Arial" w:cs="Arial"/>
          <w:b/>
          <w:bCs/>
        </w:rPr>
        <w:t>How long</w:t>
      </w:r>
      <w:r>
        <w:t xml:space="preserve"> have you been in this position?</w:t>
      </w:r>
    </w:p>
    <w:p w:rsidR="00B6552B" w:rsidRDefault="00B6552B" w:rsidP="00B6552B">
      <w:pPr>
        <w:pStyle w:val="Heading2"/>
        <w:rPr>
          <w:sz w:val="24"/>
          <w:szCs w:val="24"/>
        </w:rPr>
      </w:pPr>
      <w:r>
        <w:rPr>
          <w:noProof/>
        </w:rPr>
        <w:drawing>
          <wp:inline distT="0" distB="0" distL="0" distR="0" wp14:anchorId="12E7B8C5" wp14:editId="725D50C0">
            <wp:extent cx="2657475" cy="1717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32" w:type="dxa"/>
        <w:tblInd w:w="44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1834"/>
        <w:gridCol w:w="5551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>
            <w:pPr>
              <w:spacing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>
            <w:pPr>
              <w:spacing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>
            <w:pPr>
              <w:spacing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174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0 - 1 year</w:t>
            </w:r>
          </w:p>
        </w:tc>
        <w:tc>
          <w:tcPr>
            <w:tcW w:w="18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</w:t>
            </w:r>
          </w:p>
        </w:tc>
        <w:tc>
          <w:tcPr>
            <w:tcW w:w="555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66.67%</w:t>
            </w:r>
          </w:p>
        </w:tc>
      </w:tr>
      <w:tr w:rsidR="008913A2" w:rsidTr="00860CFA">
        <w:tc>
          <w:tcPr>
            <w:tcW w:w="174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1 - 2 years</w:t>
            </w:r>
          </w:p>
        </w:tc>
        <w:tc>
          <w:tcPr>
            <w:tcW w:w="18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555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  <w:tr w:rsidR="008913A2" w:rsidTr="00860CFA">
        <w:tc>
          <w:tcPr>
            <w:tcW w:w="174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2 - 3 years</w:t>
            </w:r>
          </w:p>
        </w:tc>
        <w:tc>
          <w:tcPr>
            <w:tcW w:w="18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</w:t>
            </w:r>
          </w:p>
        </w:tc>
        <w:tc>
          <w:tcPr>
            <w:tcW w:w="555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13.33%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3. What </w:t>
      </w:r>
      <w:r>
        <w:rPr>
          <w:rStyle w:val="Strong"/>
          <w:rFonts w:ascii="Arial" w:hAnsi="Arial" w:cs="Arial"/>
          <w:b/>
          <w:bCs/>
        </w:rPr>
        <w:t xml:space="preserve">sort of chemistry </w:t>
      </w:r>
      <w:r>
        <w:t xml:space="preserve">do you work on? </w:t>
      </w:r>
      <w:r>
        <w:rPr>
          <w:rStyle w:val="Emphasis"/>
          <w:rFonts w:ascii="Arial" w:hAnsi="Arial" w:cs="Arial"/>
          <w:color w:val="0000FF"/>
        </w:rPr>
        <w:t>(</w:t>
      </w:r>
      <w:proofErr w:type="gramStart"/>
      <w:r>
        <w:rPr>
          <w:rStyle w:val="Emphasis"/>
          <w:rFonts w:ascii="Arial" w:hAnsi="Arial" w:cs="Arial"/>
          <w:color w:val="0000FF"/>
        </w:rPr>
        <w:t>select</w:t>
      </w:r>
      <w:proofErr w:type="gramEnd"/>
      <w:r>
        <w:rPr>
          <w:rStyle w:val="Emphasis"/>
          <w:rFonts w:ascii="Arial" w:hAnsi="Arial" w:cs="Arial"/>
          <w:color w:val="0000FF"/>
        </w:rPr>
        <w:t xml:space="preserve"> all that apply)</w:t>
      </w:r>
    </w:p>
    <w:p w:rsidR="008913A2" w:rsidRDefault="008913A2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lastRenderedPageBreak/>
        <w:drawing>
          <wp:inline distT="0" distB="0" distL="0" distR="0" wp14:editId="2AA3CF96">
            <wp:extent cx="6188075" cy="2860040"/>
            <wp:effectExtent l="0" t="0" r="0" b="0"/>
            <wp:docPr id="39" name="Picture 39" descr="https://app.sgizmo.com/reports/80025/286972/SV7BXS4QRDQJFTVCLGANYHNNOM194S/images/33.png?=127427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pp.sgizmo.com/reports/80025/286972/SV7BXS4QRDQJFTVCLGANYHNNOM194S/images/33.png?=1274274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978"/>
        <w:gridCol w:w="5585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>
            <w:pPr>
              <w:spacing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>
            <w:pPr>
              <w:spacing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>
            <w:pPr>
              <w:spacing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Organic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66.67%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Biological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40.00%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Inorganic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26.67%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Physical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26.67%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>4. What is the main method that you use to access the department's ELN?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307AEB4E" wp14:editId="3AE5E741">
            <wp:extent cx="3115597" cy="185737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4217" cy="18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1"/>
        <w:gridCol w:w="1134"/>
        <w:gridCol w:w="3822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lastRenderedPageBreak/>
              <w:t>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34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Don't use ELN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</w:t>
            </w:r>
          </w:p>
        </w:tc>
        <w:tc>
          <w:tcPr>
            <w:tcW w:w="3822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26.67%</w:t>
            </w:r>
          </w:p>
        </w:tc>
      </w:tr>
      <w:tr w:rsidR="008913A2" w:rsidTr="00860CFA">
        <w:tc>
          <w:tcPr>
            <w:tcW w:w="34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Locally-installed ELN client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</w:t>
            </w:r>
          </w:p>
        </w:tc>
        <w:tc>
          <w:tcPr>
            <w:tcW w:w="3822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26.67%</w:t>
            </w:r>
          </w:p>
        </w:tc>
      </w:tr>
      <w:tr w:rsidR="008913A2" w:rsidTr="00860CFA">
        <w:tc>
          <w:tcPr>
            <w:tcW w:w="34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Via Terminal Server (Remote Data Access)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</w:t>
            </w:r>
          </w:p>
        </w:tc>
        <w:tc>
          <w:tcPr>
            <w:tcW w:w="3822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26.67%</w:t>
            </w:r>
          </w:p>
        </w:tc>
      </w:tr>
      <w:tr w:rsidR="008913A2" w:rsidTr="00860CFA">
        <w:tc>
          <w:tcPr>
            <w:tcW w:w="34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Don't know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3822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5. </w:t>
      </w:r>
      <w:r>
        <w:rPr>
          <w:rStyle w:val="Emphasis"/>
          <w:rFonts w:ascii="Arial" w:hAnsi="Arial" w:cs="Arial"/>
          <w:color w:val="0000FF"/>
          <w:sz w:val="27"/>
          <w:szCs w:val="27"/>
        </w:rPr>
        <w:t>The following questions are about the main computer that you use in your lab or write-up area.</w:t>
      </w:r>
      <w:r>
        <w:t xml:space="preserve"> </w:t>
      </w:r>
      <w:r>
        <w:br/>
        <w:t xml:space="preserve">What </w:t>
      </w:r>
      <w:r>
        <w:rPr>
          <w:rStyle w:val="Strong"/>
          <w:rFonts w:ascii="Arial" w:hAnsi="Arial" w:cs="Arial"/>
          <w:b/>
          <w:bCs/>
        </w:rPr>
        <w:t xml:space="preserve">type </w:t>
      </w:r>
      <w:r>
        <w:t>of computer is it?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3A2B9063" wp14:editId="542E8539">
            <wp:extent cx="2611164" cy="1571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1164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978"/>
        <w:gridCol w:w="5585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Laptop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8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53.33%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Desktop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7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46.67%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6. </w:t>
      </w:r>
      <w:r>
        <w:rPr>
          <w:rStyle w:val="Strong"/>
          <w:rFonts w:ascii="Arial" w:hAnsi="Arial" w:cs="Arial"/>
          <w:b/>
          <w:bCs/>
        </w:rPr>
        <w:t xml:space="preserve">Which operating system </w:t>
      </w:r>
      <w:r>
        <w:t>does it use?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lastRenderedPageBreak/>
        <w:drawing>
          <wp:inline distT="0" distB="0" distL="0" distR="0" wp14:anchorId="52767AAD" wp14:editId="77B01E7C">
            <wp:extent cx="2650206" cy="1847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20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978"/>
        <w:gridCol w:w="5585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Mac OS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Windows 7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Windows XP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Linux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Windows Vista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7. </w:t>
      </w:r>
      <w:r>
        <w:rPr>
          <w:rStyle w:val="Strong"/>
          <w:rFonts w:ascii="Arial" w:hAnsi="Arial" w:cs="Arial"/>
          <w:b/>
          <w:bCs/>
        </w:rPr>
        <w:t>Who owns</w:t>
      </w:r>
      <w:r>
        <w:t xml:space="preserve"> the above computer?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6E2740B4" wp14:editId="1DC77885">
            <wp:extent cx="2808514" cy="163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851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965"/>
        <w:gridCol w:w="5357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206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Group owned</w:t>
            </w:r>
          </w:p>
        </w:tc>
        <w:tc>
          <w:tcPr>
            <w:tcW w:w="96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7</w:t>
            </w:r>
          </w:p>
        </w:tc>
        <w:tc>
          <w:tcPr>
            <w:tcW w:w="535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46.67%</w:t>
            </w:r>
          </w:p>
        </w:tc>
      </w:tr>
      <w:tr w:rsidR="008913A2" w:rsidTr="00860CFA">
        <w:tc>
          <w:tcPr>
            <w:tcW w:w="206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Self-owned</w:t>
            </w:r>
          </w:p>
        </w:tc>
        <w:tc>
          <w:tcPr>
            <w:tcW w:w="96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</w:t>
            </w:r>
          </w:p>
        </w:tc>
        <w:tc>
          <w:tcPr>
            <w:tcW w:w="535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40.00%</w:t>
            </w:r>
          </w:p>
        </w:tc>
      </w:tr>
      <w:tr w:rsidR="008913A2" w:rsidTr="00860CFA">
        <w:tc>
          <w:tcPr>
            <w:tcW w:w="206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lastRenderedPageBreak/>
              <w:t>Chemistry Department</w:t>
            </w:r>
          </w:p>
        </w:tc>
        <w:tc>
          <w:tcPr>
            <w:tcW w:w="96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535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  <w:tr w:rsidR="008913A2" w:rsidTr="00860CFA">
        <w:tc>
          <w:tcPr>
            <w:tcW w:w="206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Other</w:t>
            </w:r>
          </w:p>
        </w:tc>
        <w:tc>
          <w:tcPr>
            <w:tcW w:w="96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535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8. </w:t>
      </w:r>
      <w:r>
        <w:rPr>
          <w:rStyle w:val="Strong"/>
          <w:rFonts w:ascii="Arial" w:hAnsi="Arial" w:cs="Arial"/>
          <w:b/>
          <w:bCs/>
        </w:rPr>
        <w:t>Who uses</w:t>
      </w:r>
      <w:r>
        <w:t xml:space="preserve"> the above computer?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20E4F199" wp14:editId="6EDBCA56">
            <wp:extent cx="2013612" cy="168592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361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990"/>
        <w:gridCol w:w="5820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157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Single user</w:t>
            </w:r>
          </w:p>
        </w:tc>
        <w:tc>
          <w:tcPr>
            <w:tcW w:w="990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12</w:t>
            </w:r>
          </w:p>
        </w:tc>
        <w:tc>
          <w:tcPr>
            <w:tcW w:w="5820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80.00%</w:t>
            </w:r>
          </w:p>
        </w:tc>
      </w:tr>
      <w:tr w:rsidR="008913A2" w:rsidTr="00860CFA">
        <w:tc>
          <w:tcPr>
            <w:tcW w:w="157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Shared</w:t>
            </w:r>
          </w:p>
        </w:tc>
        <w:tc>
          <w:tcPr>
            <w:tcW w:w="990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5820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9. When you are using a computer to enter expt details, </w:t>
      </w:r>
      <w:r>
        <w:rPr>
          <w:rStyle w:val="Strong"/>
          <w:rFonts w:ascii="Arial" w:hAnsi="Arial" w:cs="Arial"/>
          <w:b/>
          <w:bCs/>
        </w:rPr>
        <w:t>where</w:t>
      </w:r>
      <w:r>
        <w:t xml:space="preserve"> is the computer located? (</w:t>
      </w:r>
      <w:r>
        <w:rPr>
          <w:rStyle w:val="Emphasis"/>
          <w:rFonts w:ascii="Arial" w:hAnsi="Arial" w:cs="Arial"/>
          <w:color w:val="0000FF"/>
        </w:rPr>
        <w:t>If you use a laptop, or you use two different computers to enter expt details, please indicate all locations that you commonly use)</w:t>
      </w:r>
    </w:p>
    <w:p w:rsidR="008913A2" w:rsidRDefault="008913A2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lastRenderedPageBreak/>
        <w:drawing>
          <wp:inline distT="0" distB="0" distL="0" distR="0" wp14:editId="2BE53CD6">
            <wp:extent cx="6188075" cy="2860040"/>
            <wp:effectExtent l="0" t="0" r="0" b="0"/>
            <wp:docPr id="33" name="Picture 33" descr="https://app.sgizmo.com/reports/80025/286972/SV7BXS4QRDQJFTVCLGANYHNNOM194S/images/8.png?=127427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app.sgizmo.com/reports/80025/286972/SV7BXS4QRDQJFTVCLGANYHNNOM194S/images/8.png?=12742744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1731"/>
        <w:gridCol w:w="3538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311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In write-up outside lab</w:t>
            </w:r>
          </w:p>
        </w:tc>
        <w:tc>
          <w:tcPr>
            <w:tcW w:w="17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9</w:t>
            </w:r>
          </w:p>
        </w:tc>
        <w:tc>
          <w:tcPr>
            <w:tcW w:w="353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60.00%</w:t>
            </w:r>
          </w:p>
        </w:tc>
      </w:tr>
      <w:tr w:rsidR="008913A2" w:rsidTr="00860CFA">
        <w:tc>
          <w:tcPr>
            <w:tcW w:w="311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In write-up in lab</w:t>
            </w:r>
          </w:p>
        </w:tc>
        <w:tc>
          <w:tcPr>
            <w:tcW w:w="17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353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  <w:tr w:rsidR="008913A2" w:rsidTr="00860CFA">
        <w:tc>
          <w:tcPr>
            <w:tcW w:w="311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No computer used</w:t>
            </w:r>
          </w:p>
        </w:tc>
        <w:tc>
          <w:tcPr>
            <w:tcW w:w="17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353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  <w:tr w:rsidR="008913A2" w:rsidTr="00860CFA">
        <w:tc>
          <w:tcPr>
            <w:tcW w:w="311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In lab, at bench</w:t>
            </w:r>
          </w:p>
        </w:tc>
        <w:tc>
          <w:tcPr>
            <w:tcW w:w="17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353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10. </w:t>
      </w:r>
      <w:r>
        <w:rPr>
          <w:rStyle w:val="Strong"/>
          <w:rFonts w:ascii="Arial" w:hAnsi="Arial" w:cs="Arial"/>
          <w:b/>
          <w:bCs/>
        </w:rPr>
        <w:t xml:space="preserve">How practical is it </w:t>
      </w:r>
      <w:r>
        <w:t>to use this computer to record your experimental data whilst doing an experiment?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74007AC4" wp14:editId="34667EA3">
            <wp:extent cx="2279931" cy="160020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993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978"/>
        <w:gridCol w:w="5585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lastRenderedPageBreak/>
              <w:t>Difficult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40.00%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Okay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Not easy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26.67%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11. When working in the lab, </w:t>
      </w:r>
      <w:r>
        <w:rPr>
          <w:rStyle w:val="Strong"/>
          <w:rFonts w:ascii="Arial" w:hAnsi="Arial" w:cs="Arial"/>
          <w:b/>
          <w:bCs/>
        </w:rPr>
        <w:t xml:space="preserve">how near are you </w:t>
      </w:r>
      <w:r>
        <w:t>to the above computer?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5DA62CAE" wp14:editId="48E26E91">
            <wp:extent cx="2733675" cy="17957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9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1134"/>
        <w:gridCol w:w="4105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314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4 - 10 metres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410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314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&gt; 10 metres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410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314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2 - 4 metres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410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  <w:tr w:rsidR="008913A2" w:rsidTr="00860CFA">
        <w:tc>
          <w:tcPr>
            <w:tcW w:w="314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Don't use computer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</w:t>
            </w:r>
          </w:p>
        </w:tc>
        <w:tc>
          <w:tcPr>
            <w:tcW w:w="410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13.33%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12. Do you </w:t>
      </w:r>
      <w:r>
        <w:rPr>
          <w:rStyle w:val="Strong"/>
          <w:rFonts w:ascii="Arial" w:hAnsi="Arial" w:cs="Arial"/>
          <w:b/>
          <w:bCs/>
        </w:rPr>
        <w:t xml:space="preserve">back-up </w:t>
      </w:r>
      <w:r>
        <w:t xml:space="preserve">the experimental data files stored on the computer you use to any of the following locations? </w:t>
      </w:r>
      <w:r>
        <w:rPr>
          <w:rStyle w:val="Emphasis"/>
          <w:rFonts w:ascii="Arial" w:hAnsi="Arial" w:cs="Arial"/>
          <w:color w:val="0000FF"/>
        </w:rPr>
        <w:t>(Select all that apply)</w:t>
      </w:r>
    </w:p>
    <w:p w:rsidR="008913A2" w:rsidRDefault="008913A2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lastRenderedPageBreak/>
        <w:drawing>
          <wp:inline distT="0" distB="0" distL="0" distR="0" wp14:editId="173C010B">
            <wp:extent cx="6188075" cy="2860040"/>
            <wp:effectExtent l="0" t="0" r="0" b="0"/>
            <wp:docPr id="30" name="Picture 30" descr="https://app.sgizmo.com/reports/80025/286972/SV7BXS4QRDQJFTVCLGANYHNNOM194S/images/14.png?=127427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app.sgizmo.com/reports/80025/286972/SV7BXS4QRDQJFTVCLGANYHNNOM194S/images/14.png?=12742744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5"/>
        <w:gridCol w:w="1134"/>
        <w:gridCol w:w="2688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456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Group shared drive in Chemistry Dept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268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456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Other location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268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456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Not backed-up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268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  <w:tr w:rsidR="008913A2" w:rsidTr="00860CFA">
        <w:tc>
          <w:tcPr>
            <w:tcW w:w="456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Don't know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13.33%</w:t>
            </w:r>
          </w:p>
        </w:tc>
      </w:tr>
      <w:tr w:rsidR="008913A2" w:rsidTr="00860CFA">
        <w:tc>
          <w:tcPr>
            <w:tcW w:w="456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Don't store files on my computer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</w:t>
            </w:r>
          </w:p>
        </w:tc>
        <w:tc>
          <w:tcPr>
            <w:tcW w:w="268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13.33%</w:t>
            </w:r>
          </w:p>
        </w:tc>
      </w:tr>
      <w:tr w:rsidR="008913A2" w:rsidTr="00860CFA">
        <w:tc>
          <w:tcPr>
            <w:tcW w:w="456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Personal Chemistry Dept drive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  <w:tr w:rsidR="008913A2" w:rsidTr="00860CFA">
        <w:tc>
          <w:tcPr>
            <w:tcW w:w="456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PWF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268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13. Where do you store the </w:t>
      </w:r>
      <w:r>
        <w:rPr>
          <w:rStyle w:val="Strong"/>
          <w:rFonts w:ascii="Arial" w:hAnsi="Arial" w:cs="Arial"/>
          <w:b/>
          <w:bCs/>
        </w:rPr>
        <w:t>data files</w:t>
      </w:r>
      <w:r>
        <w:t xml:space="preserve"> from your experiments</w:t>
      </w:r>
      <w:r>
        <w:rPr>
          <w:rStyle w:val="Strong"/>
          <w:rFonts w:ascii="Arial" w:hAnsi="Arial" w:cs="Arial"/>
          <w:b/>
          <w:bCs/>
        </w:rPr>
        <w:t xml:space="preserve"> </w:t>
      </w:r>
      <w:r>
        <w:t xml:space="preserve">(e.g. NMR, </w:t>
      </w:r>
      <w:proofErr w:type="spellStart"/>
      <w:r>
        <w:t>MassSpec</w:t>
      </w:r>
      <w:proofErr w:type="spellEnd"/>
      <w:r>
        <w:t xml:space="preserve">, IR, Optical </w:t>
      </w:r>
      <w:proofErr w:type="spellStart"/>
      <w:r>
        <w:t>Dichroism</w:t>
      </w:r>
      <w:proofErr w:type="spellEnd"/>
      <w:r>
        <w:t>, X-ray crystallography, etc) (</w:t>
      </w:r>
      <w:r>
        <w:rPr>
          <w:rStyle w:val="Emphasis"/>
          <w:rFonts w:ascii="Arial" w:hAnsi="Arial" w:cs="Arial"/>
          <w:color w:val="0000FF"/>
        </w:rPr>
        <w:t>select all that apply</w:t>
      </w:r>
      <w:r>
        <w:t>)</w:t>
      </w:r>
    </w:p>
    <w:p w:rsidR="008913A2" w:rsidRDefault="008913A2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lastRenderedPageBreak/>
        <w:drawing>
          <wp:inline distT="0" distB="0" distL="0" distR="0" wp14:editId="7400CE85">
            <wp:extent cx="6188075" cy="2860040"/>
            <wp:effectExtent l="0" t="0" r="0" b="0"/>
            <wp:docPr id="29" name="Picture 29" descr="https://app.sgizmo.com/reports/80025/286972/SV7BXS4QRDQJFTVCLGANYHNNOM194S/images/43.png?=127427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pp.sgizmo.com/reports/80025/286972/SV7BXS4QRDQJFTVCLGANYHNNOM194S/images/43.png?=127427449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7"/>
        <w:gridCol w:w="1417"/>
        <w:gridCol w:w="3113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385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Group shared area</w:t>
            </w:r>
          </w:p>
        </w:tc>
        <w:tc>
          <w:tcPr>
            <w:tcW w:w="141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66.67%</w:t>
            </w:r>
          </w:p>
        </w:tc>
      </w:tr>
      <w:tr w:rsidR="008913A2" w:rsidTr="00860CFA">
        <w:tc>
          <w:tcPr>
            <w:tcW w:w="385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Group computer</w:t>
            </w:r>
          </w:p>
        </w:tc>
        <w:tc>
          <w:tcPr>
            <w:tcW w:w="141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8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53.33%</w:t>
            </w:r>
          </w:p>
        </w:tc>
      </w:tr>
      <w:tr w:rsidR="008913A2" w:rsidTr="00860CFA">
        <w:tc>
          <w:tcPr>
            <w:tcW w:w="385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Originating machine</w:t>
            </w:r>
          </w:p>
        </w:tc>
        <w:tc>
          <w:tcPr>
            <w:tcW w:w="141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385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Own computer</w:t>
            </w:r>
          </w:p>
        </w:tc>
        <w:tc>
          <w:tcPr>
            <w:tcW w:w="141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5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33.33%</w:t>
            </w:r>
          </w:p>
        </w:tc>
      </w:tr>
      <w:tr w:rsidR="008913A2" w:rsidTr="00860CFA">
        <w:tc>
          <w:tcPr>
            <w:tcW w:w="385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Other</w:t>
            </w:r>
          </w:p>
        </w:tc>
        <w:tc>
          <w:tcPr>
            <w:tcW w:w="141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  <w:tr w:rsidR="008913A2" w:rsidTr="00860CFA">
        <w:tc>
          <w:tcPr>
            <w:tcW w:w="385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ELN (Chemistry Dept)</w:t>
            </w:r>
          </w:p>
        </w:tc>
        <w:tc>
          <w:tcPr>
            <w:tcW w:w="1417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13.33%</w:t>
            </w:r>
          </w:p>
        </w:tc>
      </w:tr>
      <w:tr w:rsidR="008913A2" w:rsidTr="00860CFA">
        <w:tc>
          <w:tcPr>
            <w:tcW w:w="385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Chemistry Dept shared area</w:t>
            </w:r>
          </w:p>
        </w:tc>
        <w:tc>
          <w:tcPr>
            <w:tcW w:w="1417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14. Where do you record the </w:t>
      </w:r>
      <w:r>
        <w:rPr>
          <w:rStyle w:val="Strong"/>
          <w:rFonts w:ascii="Arial" w:hAnsi="Arial" w:cs="Arial"/>
          <w:b/>
          <w:bCs/>
        </w:rPr>
        <w:t>textual details</w:t>
      </w:r>
      <w:r>
        <w:t xml:space="preserve"> of your experiments?</w:t>
      </w:r>
      <w:r>
        <w:rPr>
          <w:rStyle w:val="Strong"/>
          <w:rFonts w:ascii="Arial" w:hAnsi="Arial" w:cs="Arial"/>
          <w:b/>
          <w:bCs/>
        </w:rPr>
        <w:t xml:space="preserve"> </w:t>
      </w:r>
      <w:r>
        <w:t>(</w:t>
      </w:r>
      <w:proofErr w:type="gramStart"/>
      <w:r>
        <w:t>e.g</w:t>
      </w:r>
      <w:proofErr w:type="gramEnd"/>
      <w:r>
        <w:t>. methods, observations, conclusions)</w:t>
      </w:r>
      <w:r>
        <w:rPr>
          <w:rStyle w:val="Emphasis"/>
          <w:rFonts w:ascii="Arial" w:hAnsi="Arial" w:cs="Arial"/>
          <w:color w:val="0000FF"/>
        </w:rPr>
        <w:t xml:space="preserve"> (</w:t>
      </w:r>
      <w:proofErr w:type="gramStart"/>
      <w:r>
        <w:rPr>
          <w:rStyle w:val="Emphasis"/>
          <w:rFonts w:ascii="Arial" w:hAnsi="Arial" w:cs="Arial"/>
          <w:color w:val="0000FF"/>
        </w:rPr>
        <w:t>select</w:t>
      </w:r>
      <w:proofErr w:type="gramEnd"/>
      <w:r>
        <w:rPr>
          <w:rStyle w:val="Emphasis"/>
          <w:rFonts w:ascii="Arial" w:hAnsi="Arial" w:cs="Arial"/>
          <w:color w:val="0000FF"/>
        </w:rPr>
        <w:t xml:space="preserve"> all that apply)</w:t>
      </w:r>
    </w:p>
    <w:p w:rsidR="008913A2" w:rsidRDefault="008913A2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lastRenderedPageBreak/>
        <w:drawing>
          <wp:inline distT="0" distB="0" distL="0" distR="0" wp14:editId="5DFFC81D">
            <wp:extent cx="6188075" cy="2860040"/>
            <wp:effectExtent l="0" t="0" r="0" b="0"/>
            <wp:docPr id="28" name="Picture 28" descr="https://app.sgizmo.com/reports/80025/286972/SV7BXS4QRDQJFTVCLGANYHNNOM194S/images/16.png?=127427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pp.sgizmo.com/reports/80025/286972/SV7BXS4QRDQJFTVCLGANYHNNOM194S/images/16.png?=127427449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1134"/>
        <w:gridCol w:w="3113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4140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Paper lab notebook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13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86.67%</w:t>
            </w:r>
          </w:p>
        </w:tc>
      </w:tr>
      <w:tr w:rsidR="008913A2" w:rsidTr="00860CFA">
        <w:tc>
          <w:tcPr>
            <w:tcW w:w="4140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Chemistry Department ELN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7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46.67%</w:t>
            </w:r>
          </w:p>
        </w:tc>
      </w:tr>
      <w:tr w:rsidR="008913A2" w:rsidTr="00860CFA">
        <w:tc>
          <w:tcPr>
            <w:tcW w:w="4140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Other computer packages</w:t>
            </w:r>
          </w:p>
        </w:tc>
        <w:tc>
          <w:tcPr>
            <w:tcW w:w="113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3</w:t>
            </w:r>
          </w:p>
        </w:tc>
        <w:tc>
          <w:tcPr>
            <w:tcW w:w="3113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20.00%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 xml:space="preserve">15. </w:t>
      </w:r>
      <w:r>
        <w:rPr>
          <w:rStyle w:val="Strong"/>
          <w:rFonts w:ascii="Arial" w:hAnsi="Arial" w:cs="Arial"/>
          <w:b/>
          <w:bCs/>
        </w:rPr>
        <w:t>What proportion</w:t>
      </w:r>
      <w:r>
        <w:t xml:space="preserve"> of your experimental information do you store in the Chemistry </w:t>
      </w:r>
      <w:proofErr w:type="spellStart"/>
      <w:r>
        <w:t>Dept's</w:t>
      </w:r>
      <w:proofErr w:type="spellEnd"/>
      <w:r>
        <w:t xml:space="preserve"> ELN? (</w:t>
      </w:r>
      <w:r>
        <w:rPr>
          <w:rStyle w:val="Emphasis"/>
          <w:rFonts w:ascii="Arial" w:hAnsi="Arial" w:cs="Arial"/>
          <w:color w:val="0000FF"/>
        </w:rPr>
        <w:t>Estimate this using number of items of data, rather than counting byte sizes</w:t>
      </w:r>
      <w:r>
        <w:t>)</w:t>
      </w:r>
    </w:p>
    <w:p w:rsidR="008913A2" w:rsidRDefault="00B6552B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2C5A3978" wp14:editId="7E19FEA8">
            <wp:extent cx="2510801" cy="161925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10801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7" w:type="dxa"/>
        <w:tblInd w:w="613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978"/>
        <w:gridCol w:w="5585"/>
      </w:tblGrid>
      <w:tr w:rsidR="008913A2" w:rsidTr="00860CFA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pBdr>
                <w:bottom w:val="single" w:sz="12" w:space="6" w:color="4F6D8F"/>
              </w:pBdr>
              <w:shd w:val="clear" w:color="auto" w:fill="CDD4DE"/>
              <w:spacing w:after="0" w:line="195" w:lineRule="atLeast"/>
              <w:jc w:val="center"/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4F6D8F"/>
                <w:spacing w:val="15"/>
                <w:sz w:val="20"/>
                <w:szCs w:val="20"/>
              </w:rPr>
              <w:t>Summary</w:t>
            </w:r>
          </w:p>
        </w:tc>
      </w:tr>
      <w:tr w:rsidR="008913A2" w:rsidTr="00860CFA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lastRenderedPageBreak/>
              <w:t>0-24%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66.67%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75-100%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4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26.67%</w:t>
            </w:r>
          </w:p>
        </w:tc>
      </w:tr>
      <w:tr w:rsidR="008913A2" w:rsidTr="00860CFA">
        <w:tc>
          <w:tcPr>
            <w:tcW w:w="1824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60CFA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25-49%</w:t>
            </w:r>
          </w:p>
        </w:tc>
        <w:tc>
          <w:tcPr>
            <w:tcW w:w="978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558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60CFA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6.67%</w:t>
            </w:r>
          </w:p>
        </w:tc>
      </w:tr>
    </w:tbl>
    <w:p w:rsidR="008913A2" w:rsidRDefault="008913A2" w:rsidP="00B6552B">
      <w:pPr>
        <w:pStyle w:val="Heading2"/>
      </w:pPr>
      <w:r>
        <w:t>16. How much do you agree w</w:t>
      </w:r>
      <w:r w:rsidR="00B6552B">
        <w:t xml:space="preserve">ith the following </w:t>
      </w:r>
      <w:proofErr w:type="gramStart"/>
      <w:r w:rsidR="00B6552B">
        <w:t>statements:</w:t>
      </w:r>
      <w:proofErr w:type="gramEnd"/>
    </w:p>
    <w:p w:rsidR="008913A2" w:rsidRDefault="008913A2" w:rsidP="008913A2">
      <w:pPr>
        <w:pStyle w:val="Heading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editId="5D2DC4EC">
            <wp:extent cx="5686425" cy="609600"/>
            <wp:effectExtent l="0" t="0" r="0" b="0"/>
            <wp:docPr id="43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A2" w:rsidRDefault="008913A2" w:rsidP="008913A2">
      <w:pPr>
        <w:pStyle w:val="Heading2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editId="3FE86DD2">
            <wp:extent cx="5724525" cy="5886450"/>
            <wp:effectExtent l="0" t="0" r="0" b="0"/>
            <wp:docPr id="46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A2" w:rsidRDefault="008913A2" w:rsidP="008913A2">
      <w:pPr>
        <w:pStyle w:val="Heading2"/>
        <w:rPr>
          <w:rFonts w:ascii="Arial" w:hAnsi="Arial" w:cs="Arial"/>
          <w:sz w:val="24"/>
          <w:szCs w:val="24"/>
        </w:rPr>
      </w:pPr>
    </w:p>
    <w:p w:rsidR="008913A2" w:rsidRDefault="008913A2" w:rsidP="008913A2">
      <w:pPr>
        <w:pStyle w:val="Heading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editId="52C9F432">
            <wp:extent cx="5686425" cy="609600"/>
            <wp:effectExtent l="0" t="0" r="0" b="0"/>
            <wp:docPr id="44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A2" w:rsidRDefault="008913A2" w:rsidP="008913A2">
      <w:pPr>
        <w:pStyle w:val="Heading2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editId="28A9F303">
            <wp:extent cx="5695950" cy="5238750"/>
            <wp:effectExtent l="0" t="0" r="0" b="0"/>
            <wp:docPr id="47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A2" w:rsidRDefault="008913A2" w:rsidP="008913A2">
      <w:pPr>
        <w:pStyle w:val="Heading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editId="1ADC938F">
            <wp:extent cx="5724525" cy="2714625"/>
            <wp:effectExtent l="0" t="0" r="0" b="0"/>
            <wp:docPr id="48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3A2" w:rsidRDefault="008913A2" w:rsidP="008913A2">
      <w:pPr>
        <w:shd w:val="clear" w:color="auto" w:fill="FFFFFF"/>
        <w:jc w:val="right"/>
        <w:rPr>
          <w:rFonts w:ascii="Arial" w:hAnsi="Arial" w:cs="Arial"/>
          <w:b/>
          <w:bCs/>
          <w:color w:val="4F6D8F"/>
          <w:sz w:val="17"/>
          <w:szCs w:val="17"/>
        </w:rPr>
      </w:pPr>
      <w:r>
        <w:rPr>
          <w:rFonts w:ascii="Arial" w:hAnsi="Arial" w:cs="Arial"/>
          <w:b/>
          <w:bCs/>
          <w:color w:val="4F6D8F"/>
          <w:sz w:val="17"/>
          <w:szCs w:val="17"/>
        </w:rPr>
        <w:t>Total Responses: 15</w:t>
      </w:r>
    </w:p>
    <w:p w:rsidR="008913A2" w:rsidRDefault="008913A2" w:rsidP="00B6552B">
      <w:pPr>
        <w:pStyle w:val="Heading2"/>
        <w:rPr>
          <w:color w:val="4F6D8F"/>
          <w:sz w:val="24"/>
          <w:szCs w:val="24"/>
        </w:rPr>
      </w:pPr>
      <w:r>
        <w:lastRenderedPageBreak/>
        <w:t>17. What would encourage you to use the ELN more?</w:t>
      </w:r>
    </w:p>
    <w:tbl>
      <w:tblPr>
        <w:tblW w:w="8925" w:type="dxa"/>
        <w:tblInd w:w="75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1"/>
        <w:gridCol w:w="875"/>
        <w:gridCol w:w="1619"/>
      </w:tblGrid>
      <w:tr w:rsidR="008913A2" w:rsidTr="00860CFA">
        <w:trPr>
          <w:tblHeader/>
        </w:trPr>
        <w:tc>
          <w:tcPr>
            <w:tcW w:w="6431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Value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Count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Percent 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a web client may be more useful (I recognise that the specialised OS, software and datatypes used by NMR are rather low priority for more synthesis-minded users)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Being able to input and edit experiments at the bench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If I had time to get to grips with it. I don't find it easy to use and I don't have time to invest in it such that it becomes easy. Perhaps over the summer I can do this.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 xml:space="preserve">If it was more easily accessible. If I could use my computer in the lab. Essentially, as a sine qua non of success, the ELN has to be quicker than using pen and paper; this is not currently the case. It would be nice for the UI to have common tasks available as large buttons (new expt, insert detail) - for unanimous departmental usage it needs to be accessible by people with far less technical </w:t>
            </w:r>
            <w:proofErr w:type="spellStart"/>
            <w:r>
              <w:rPr>
                <w:rFonts w:ascii="Verdana" w:hAnsi="Verdana" w:cs="Arial"/>
                <w:color w:val="576990"/>
                <w:sz w:val="20"/>
                <w:szCs w:val="20"/>
              </w:rPr>
              <w:t>know how</w:t>
            </w:r>
            <w:proofErr w:type="spellEnd"/>
            <w:r>
              <w:rPr>
                <w:rFonts w:ascii="Verdana" w:hAnsi="Verdana" w:cs="Arial"/>
                <w:color w:val="576990"/>
                <w:sz w:val="20"/>
                <w:szCs w:val="20"/>
              </w:rPr>
              <w:t xml:space="preserve"> (the group in the early adopters team is certainly biased towards the more adept).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improvement 1)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576990"/>
                <w:sz w:val="20"/>
                <w:szCs w:val="20"/>
              </w:rPr>
              <w:t>linking</w:t>
            </w:r>
            <w:proofErr w:type="gramEnd"/>
            <w:r>
              <w:rPr>
                <w:rFonts w:ascii="Verdana" w:hAnsi="Verdana" w:cs="Arial"/>
                <w:color w:val="576990"/>
                <w:sz w:val="20"/>
                <w:szCs w:val="20"/>
              </w:rPr>
              <w:t xml:space="preserve"> it with a chemical </w:t>
            </w:r>
            <w:proofErr w:type="spellStart"/>
            <w:r>
              <w:rPr>
                <w:rFonts w:ascii="Verdana" w:hAnsi="Verdana" w:cs="Arial"/>
                <w:color w:val="576990"/>
                <w:sz w:val="20"/>
                <w:szCs w:val="20"/>
              </w:rPr>
              <w:t>invnetory</w:t>
            </w:r>
            <w:proofErr w:type="spellEnd"/>
            <w:r>
              <w:rPr>
                <w:rFonts w:ascii="Verdana" w:hAnsi="Verdana" w:cs="Arial"/>
                <w:color w:val="576990"/>
                <w:sz w:val="20"/>
                <w:szCs w:val="20"/>
              </w:rPr>
              <w:t xml:space="preserve"> and having access to the ELN from my fumehood.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more training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576990"/>
                <w:sz w:val="20"/>
                <w:szCs w:val="20"/>
              </w:rPr>
              <w:t>potability</w:t>
            </w:r>
            <w:proofErr w:type="spellEnd"/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See above. Answered on behalf of group's users.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  <w:tr w:rsidR="008913A2" w:rsidTr="00860CFA">
        <w:tc>
          <w:tcPr>
            <w:tcW w:w="6431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90"/>
                <w:sz w:val="20"/>
                <w:szCs w:val="20"/>
              </w:rPr>
            </w:pPr>
            <w:r>
              <w:rPr>
                <w:rFonts w:ascii="Verdana" w:hAnsi="Verdana" w:cs="Arial"/>
                <w:color w:val="576990"/>
                <w:sz w:val="20"/>
                <w:szCs w:val="20"/>
              </w:rPr>
              <w:t>The main reason I don't use the ELN is the fact that the computers I use are shared, and not at the bench, so it just isn't practical - I would recommend it to people who do more theoretical work as I think in the right setting it would be a valuable tool.</w:t>
            </w:r>
          </w:p>
        </w:tc>
        <w:tc>
          <w:tcPr>
            <w:tcW w:w="875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righ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10.00%</w:t>
            </w:r>
          </w:p>
        </w:tc>
      </w:tr>
    </w:tbl>
    <w:p w:rsidR="008913A2" w:rsidRDefault="008913A2" w:rsidP="00B6552B">
      <w:pPr>
        <w:pStyle w:val="Heading2"/>
        <w:rPr>
          <w:sz w:val="24"/>
          <w:szCs w:val="24"/>
        </w:rPr>
      </w:pPr>
      <w:r>
        <w:t>Appendix: 19.</w:t>
      </w:r>
      <w:r>
        <w:br/>
        <w:t>What are the three most important areas to improve in the ELN</w:t>
      </w:r>
      <w:proofErr w:type="gramStart"/>
      <w:r>
        <w:t>?:</w:t>
      </w:r>
      <w:proofErr w:type="gramEnd"/>
      <w:r>
        <w:t>1)</w:t>
      </w:r>
    </w:p>
    <w:tbl>
      <w:tblPr>
        <w:tblW w:w="9000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913A2" w:rsidTr="008913A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lastRenderedPageBreak/>
              <w:t>Description of Improvement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connection to internet data sources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Input and edit experiments at the bench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Putting in tables in the text editor, make them more user friendly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access</w:t>
            </w:r>
            <w:proofErr w:type="gram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to TS from the NMR machines (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RedHat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outdated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version) is impossible. All experimental details that I need to run an NMR experiment, therefore, cannot be directly input into the ELN. I have attempted compiling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rdesktop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so that it is the most updated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The speed.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Entering data in lab environment - appropriate hardware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Better link between Chemdraw and ELN interface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more viewers to be able to view my data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If I could access it from my laptop, I would use it. In my lab there are only 2 computers near the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fumehoods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which access ELN and even they are quite far.</w:t>
            </w:r>
          </w:p>
        </w:tc>
      </w:tr>
    </w:tbl>
    <w:p w:rsidR="008913A2" w:rsidRDefault="008913A2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editId="1B1583C8">
            <wp:extent cx="10795" cy="10795"/>
            <wp:effectExtent l="0" t="0" r="0" b="0"/>
            <wp:docPr id="24" name="Picture 24" descr="https://app.sgizmo.com/images/s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app.sgizmo.com/images/sep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913A2" w:rsidRDefault="008913A2" w:rsidP="00B6552B">
      <w:pPr>
        <w:pStyle w:val="Heading2"/>
        <w:rPr>
          <w:sz w:val="24"/>
          <w:szCs w:val="24"/>
        </w:rPr>
      </w:pPr>
      <w:r>
        <w:t>Appendix: 20.</w:t>
      </w:r>
      <w:r>
        <w:br/>
        <w:t>What are the three most important areas to improve in the ELN</w:t>
      </w:r>
      <w:proofErr w:type="gramStart"/>
      <w:r>
        <w:t>?:</w:t>
      </w:r>
      <w:proofErr w:type="gramEnd"/>
      <w:r>
        <w:t>2)</w:t>
      </w:r>
    </w:p>
    <w:tbl>
      <w:tblPr>
        <w:tblW w:w="9000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913A2" w:rsidTr="008913A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>
            <w:pPr>
              <w:spacing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Description of Improvement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integration of group reagents/ordering system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to be able to create folders in the experiment section rather than just a list of experiments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2D NMR data - most experiments I am trying to develop are 2D, which stores as a '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ser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'... serial fid? The processed (2D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fourier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transformed) data is stored one level deeper -- 2rr probably contains the 2D real data.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Compatibility with non-standard batch chemistry. It is often difficult to describe flow </w:t>
            </w:r>
            <w:r>
              <w:rPr>
                <w:rFonts w:ascii="Verdana" w:hAnsi="Verdana" w:cs="Arial"/>
                <w:color w:val="57697F"/>
                <w:sz w:val="20"/>
                <w:szCs w:val="20"/>
              </w:rPr>
              <w:lastRenderedPageBreak/>
              <w:t>chemistry setups in the ELN because the drawing package isn't good enough.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lastRenderedPageBreak/>
              <w:t>More reliable - prevent crashing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easy</w:t>
            </w:r>
            <w:proofErr w:type="gram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accessibilty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eln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when working in different labs.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Getting things signed by your supervisor is more time consuming in ELN.</w:t>
            </w:r>
          </w:p>
        </w:tc>
      </w:tr>
    </w:tbl>
    <w:p w:rsidR="008913A2" w:rsidRDefault="008913A2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editId="236D574A">
            <wp:extent cx="10795" cy="10795"/>
            <wp:effectExtent l="0" t="0" r="0" b="0"/>
            <wp:docPr id="23" name="Picture 23" descr="https://app.sgizmo.com/images/s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app.sgizmo.com/images/sep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913A2" w:rsidRDefault="008913A2" w:rsidP="00B6552B">
      <w:pPr>
        <w:pStyle w:val="Heading2"/>
        <w:rPr>
          <w:sz w:val="24"/>
          <w:szCs w:val="24"/>
        </w:rPr>
      </w:pPr>
      <w:r>
        <w:t>Appendix: 21.</w:t>
      </w:r>
      <w:r>
        <w:br/>
        <w:t>What are the three most important areas to improve in the ELN</w:t>
      </w:r>
      <w:proofErr w:type="gramStart"/>
      <w:r>
        <w:t>?:</w:t>
      </w:r>
      <w:proofErr w:type="gramEnd"/>
      <w:r>
        <w:t>3)</w:t>
      </w:r>
    </w:p>
    <w:tbl>
      <w:tblPr>
        <w:tblW w:w="9000" w:type="dxa"/>
        <w:tblBorders>
          <w:top w:val="single" w:sz="6" w:space="0" w:color="CBD1EC"/>
          <w:left w:val="single" w:sz="6" w:space="0" w:color="CBD1EC"/>
          <w:bottom w:val="single" w:sz="6" w:space="0" w:color="CBD1EC"/>
          <w:right w:val="single" w:sz="6" w:space="0" w:color="CBD1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913A2" w:rsidTr="008913A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EF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jc w:val="center"/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aps/>
                <w:color w:val="6D839F"/>
                <w:sz w:val="18"/>
                <w:szCs w:val="18"/>
              </w:rPr>
              <w:t>Description of Improvement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to be able to paste word in the text editor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withoout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formatting problems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Ability to display FIDs as FIDs instead of spectrum - although in principle there is no loss in information on FT it is easier to spot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siignal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intensity problems and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arciing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issues.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Reducing the amount of text that has to be added (i.e. selecting TLC eluent and detection method from a menu rather than typing them out for every TLC photo.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7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>Faster client version</w:t>
            </w:r>
          </w:p>
        </w:tc>
      </w:tr>
      <w:tr w:rsidR="008913A2" w:rsidTr="008913A2">
        <w:tc>
          <w:tcPr>
            <w:tcW w:w="0" w:type="auto"/>
            <w:tcBorders>
              <w:top w:val="single" w:sz="6" w:space="0" w:color="CBD1EC"/>
              <w:bottom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8913A2" w:rsidRDefault="008913A2" w:rsidP="008A10F3">
            <w:pPr>
              <w:spacing w:after="0" w:line="210" w:lineRule="atLeast"/>
              <w:rPr>
                <w:rFonts w:ascii="Verdana" w:hAnsi="Verdana" w:cs="Arial"/>
                <w:color w:val="57697F"/>
                <w:sz w:val="20"/>
                <w:szCs w:val="20"/>
              </w:rPr>
            </w:pPr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I wish I could carry around </w:t>
            </w:r>
            <w:proofErr w:type="spellStart"/>
            <w:r>
              <w:rPr>
                <w:rFonts w:ascii="Verdana" w:hAnsi="Verdana" w:cs="Arial"/>
                <w:color w:val="57697F"/>
                <w:sz w:val="20"/>
                <w:szCs w:val="20"/>
              </w:rPr>
              <w:t>eln</w:t>
            </w:r>
            <w:proofErr w:type="spellEnd"/>
            <w:r>
              <w:rPr>
                <w:rFonts w:ascii="Verdana" w:hAnsi="Verdana" w:cs="Arial"/>
                <w:color w:val="57697F"/>
                <w:sz w:val="20"/>
                <w:szCs w:val="20"/>
              </w:rPr>
              <w:t xml:space="preserve"> as i can my notebook</w:t>
            </w:r>
          </w:p>
        </w:tc>
      </w:tr>
    </w:tbl>
    <w:p w:rsidR="008913A2" w:rsidRDefault="008913A2" w:rsidP="008913A2">
      <w:pPr>
        <w:shd w:val="clear" w:color="auto" w:fill="FFFF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editId="34BA7E3C">
            <wp:extent cx="10795" cy="10795"/>
            <wp:effectExtent l="0" t="0" r="0" b="0"/>
            <wp:docPr id="22" name="Picture 22" descr="https://app.sgizmo.com/images/s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pp.sgizmo.com/images/sep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891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46BFB"/>
    <w:multiLevelType w:val="hybridMultilevel"/>
    <w:tmpl w:val="76F4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2"/>
    <w:rsid w:val="00021AB7"/>
    <w:rsid w:val="000F07FF"/>
    <w:rsid w:val="003A26FE"/>
    <w:rsid w:val="007D71A9"/>
    <w:rsid w:val="00860CFA"/>
    <w:rsid w:val="008913A2"/>
    <w:rsid w:val="008A10F3"/>
    <w:rsid w:val="00910EBE"/>
    <w:rsid w:val="0096414E"/>
    <w:rsid w:val="00B6552B"/>
    <w:rsid w:val="00B95029"/>
    <w:rsid w:val="00BF0109"/>
    <w:rsid w:val="00CD4A1B"/>
    <w:rsid w:val="00D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91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913A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4F6D8F"/>
      <w:sz w:val="20"/>
      <w:szCs w:val="20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913A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4F6D8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3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913A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A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913A2"/>
    <w:rPr>
      <w:rFonts w:ascii="Times New Roman" w:eastAsia="Times New Roman" w:hAnsi="Times New Roman" w:cs="Times New Roman"/>
      <w:b/>
      <w:bCs/>
      <w:color w:val="4F6D8F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913A2"/>
    <w:rPr>
      <w:rFonts w:ascii="Times New Roman" w:eastAsia="Times New Roman" w:hAnsi="Times New Roman" w:cs="Times New Roman"/>
      <w:b/>
      <w:bCs/>
      <w:color w:val="4F6D8F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13A2"/>
    <w:rPr>
      <w:b/>
      <w:bCs/>
    </w:rPr>
  </w:style>
  <w:style w:type="character" w:styleId="Emphasis">
    <w:name w:val="Emphasis"/>
    <w:basedOn w:val="DefaultParagraphFont"/>
    <w:uiPriority w:val="20"/>
    <w:qFormat/>
    <w:rsid w:val="008913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91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91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913A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4F6D8F"/>
      <w:sz w:val="20"/>
      <w:szCs w:val="20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913A2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4F6D8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3A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913A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A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913A2"/>
    <w:rPr>
      <w:rFonts w:ascii="Times New Roman" w:eastAsia="Times New Roman" w:hAnsi="Times New Roman" w:cs="Times New Roman"/>
      <w:b/>
      <w:bCs/>
      <w:color w:val="4F6D8F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913A2"/>
    <w:rPr>
      <w:rFonts w:ascii="Times New Roman" w:eastAsia="Times New Roman" w:hAnsi="Times New Roman" w:cs="Times New Roman"/>
      <w:b/>
      <w:bCs/>
      <w:color w:val="4F6D8F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913A2"/>
    <w:rPr>
      <w:b/>
      <w:bCs/>
    </w:rPr>
  </w:style>
  <w:style w:type="character" w:styleId="Emphasis">
    <w:name w:val="Emphasis"/>
    <w:basedOn w:val="DefaultParagraphFont"/>
    <w:uiPriority w:val="20"/>
    <w:qFormat/>
    <w:rsid w:val="008913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913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05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2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34779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41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5942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6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81889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60834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3977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5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9316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36250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1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5178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35040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9459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6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5486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8427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6859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79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8616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2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91863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565">
                      <w:marLeft w:val="450"/>
                      <w:marRight w:val="4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9235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7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53258">
          <w:marLeft w:val="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33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91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28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42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2960">
          <w:marLeft w:val="0"/>
          <w:marRight w:val="0"/>
          <w:marTop w:val="0"/>
          <w:marBottom w:val="0"/>
          <w:divBdr>
            <w:top w:val="single" w:sz="6" w:space="19" w:color="DDDDDD"/>
            <w:left w:val="single" w:sz="6" w:space="15" w:color="DDDDDD"/>
            <w:bottom w:val="single" w:sz="6" w:space="19" w:color="DDDDDD"/>
            <w:right w:val="single" w:sz="6" w:space="15" w:color="DDDDDD"/>
          </w:divBdr>
          <w:divsChild>
            <w:div w:id="1474058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88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95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0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121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25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9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0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729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3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3389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51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0935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43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050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58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481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1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49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5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1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105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39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122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97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09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31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582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18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5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703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28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894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8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2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3406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0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7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2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9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0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9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8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6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1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59551">
                          <w:marLeft w:val="450"/>
                          <w:marRight w:val="4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4684728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8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433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75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97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0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bjb45</dc:creator>
  <cp:lastModifiedBy>bjb45</cp:lastModifiedBy>
  <cp:revision>8</cp:revision>
  <cp:lastPrinted>2010-12-06T10:44:00Z</cp:lastPrinted>
  <dcterms:created xsi:type="dcterms:W3CDTF">2010-12-06T09:39:00Z</dcterms:created>
  <dcterms:modified xsi:type="dcterms:W3CDTF">2011-06-13T13:29:00Z</dcterms:modified>
</cp:coreProperties>
</file>